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9F5" w:rsidRPr="0066741D" w:rsidRDefault="00CC59F5" w:rsidP="0066741D">
      <w:pPr>
        <w:pStyle w:val="af1"/>
      </w:pPr>
      <w:bookmarkStart w:id="1" w:name="_GoBack"/>
      <w:bookmarkEnd w:id="1"/>
      <w:r w:rsidRPr="0066741D">
        <w:t xml:space="preserve">Πληροφορίες: </w:t>
      </w:r>
      <w:sdt>
        <w:sdtPr>
          <w:rPr>
            <w:rStyle w:val="Char6"/>
          </w:rPr>
          <w:id w:val="-335538029"/>
          <w:placeholder>
            <w:docPart w:val="CC4FB0F7AD6841F68BEC3C9528080CA7"/>
          </w:placeholder>
          <w:text/>
        </w:sdtPr>
        <w:sdtEndPr>
          <w:rPr>
            <w:rStyle w:val="a1"/>
            <w:color w:val="0070C0"/>
          </w:rPr>
        </w:sdtEndPr>
        <w:sdtContent>
          <w:r w:rsidR="00B61BDB">
            <w:rPr>
              <w:rStyle w:val="Char6"/>
            </w:rPr>
            <w:t xml:space="preserve">Χριστίνα Σαμαρά </w:t>
          </w:r>
        </w:sdtContent>
      </w:sdt>
    </w:p>
    <w:sdt>
      <w:sdtPr>
        <w:id w:val="-481314470"/>
        <w:placeholder>
          <w:docPart w:val="A54DD33D467348E491014F8052FC326E"/>
        </w:placeholder>
        <w:text/>
      </w:sdtPr>
      <w:sdtEndPr/>
      <w:sdtContent>
        <w:p w:rsidR="00CC62E9" w:rsidRPr="00AB2576" w:rsidRDefault="00B61BDB" w:rsidP="00CD3CE2">
          <w:pPr>
            <w:pStyle w:val="ac"/>
          </w:pPr>
          <w:r>
            <w:t>ΕΞΑΙΡΕΤΙΚΑ ΕΠΕΙΓΟΝ</w:t>
          </w:r>
        </w:p>
      </w:sdtContent>
    </w:sdt>
    <w:p w:rsidR="00A5663B" w:rsidRPr="00A5663B" w:rsidRDefault="00E2464F"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F364ED5BBD7B4233BA867E010DDC7AD5"/>
                  </w:placeholder>
                  <w:date w:fullDate="2019-02-15T00:00:00Z">
                    <w:dateFormat w:val="dd.MM.yyyy"/>
                    <w:lid w:val="el-GR"/>
                    <w:storeMappedDataAs w:val="dateTime"/>
                    <w:calendar w:val="gregorian"/>
                  </w:date>
                </w:sdtPr>
                <w:sdtEndPr>
                  <w:rPr>
                    <w:rStyle w:val="a1"/>
                  </w:rPr>
                </w:sdtEndPr>
                <w:sdtContent>
                  <w:r w:rsidR="00E83CE7">
                    <w:rPr>
                      <w:rStyle w:val="Char6"/>
                    </w:rPr>
                    <w:t>15.02.2019</w:t>
                  </w:r>
                </w:sdtContent>
              </w:sdt>
            </w:sdtContent>
          </w:sdt>
        </w:sdtContent>
      </w:sdt>
    </w:p>
    <w:p w:rsidR="00A5663B" w:rsidRPr="00A5663B" w:rsidRDefault="00E2464F"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8DCD1F5ABCA5427B95E50A13AF911CFE"/>
          </w:placeholder>
          <w:text/>
        </w:sdtPr>
        <w:sdtEndPr>
          <w:rPr>
            <w:rStyle w:val="a1"/>
          </w:rPr>
        </w:sdtEndPr>
        <w:sdtContent>
          <w:r w:rsidR="00D07198">
            <w:rPr>
              <w:rStyle w:val="Char6"/>
            </w:rPr>
            <w:t>297</w:t>
          </w:r>
        </w:sdtContent>
      </w:sdt>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rsidR="00A5663B" w:rsidRPr="00A5663B" w:rsidRDefault="00A5663B" w:rsidP="00C0166C">
              <w:pPr>
                <w:tabs>
                  <w:tab w:val="left" w:pos="2694"/>
                </w:tabs>
                <w:spacing w:before="480" w:after="0"/>
                <w:ind w:left="1701"/>
                <w:jc w:val="left"/>
                <w:rPr>
                  <w:b/>
                </w:rPr>
                <w:sectPr w:rsidR="00A5663B" w:rsidRPr="00A5663B" w:rsidSect="005925BA">
                  <w:headerReference w:type="default" r:id="rId9"/>
                  <w:footerReference w:type="default" r:id="rId10"/>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2D2A79" w:rsidRPr="00CA0D5A">
                        <w:rPr>
                          <w:sz w:val="22"/>
                          <w:szCs w:val="22"/>
                        </w:rPr>
                        <w:t>- Πρόεδρο και Μέλη Δ</w:t>
                      </w:r>
                      <w:r w:rsidR="00D07198">
                        <w:rPr>
                          <w:sz w:val="22"/>
                          <w:szCs w:val="22"/>
                        </w:rPr>
                        <w:t>ιαρκούς Επιτροπής Παραγωγής και</w:t>
                      </w:r>
                      <w:r w:rsidR="00CA0D5A" w:rsidRPr="00CA0D5A">
                        <w:rPr>
                          <w:sz w:val="22"/>
                          <w:szCs w:val="22"/>
                        </w:rPr>
                        <w:t xml:space="preserve"> </w:t>
                      </w:r>
                      <w:r w:rsidR="002D2A79" w:rsidRPr="00CA0D5A">
                        <w:rPr>
                          <w:sz w:val="22"/>
                          <w:szCs w:val="22"/>
                        </w:rPr>
                        <w:t>Εμπορίου της Βουλής</w:t>
                      </w:r>
                      <w:r w:rsidR="002D2A79">
                        <w:t xml:space="preserve"> </w:t>
                      </w:r>
                    </w:sdtContent>
                  </w:sdt>
                </w:p>
              </w:sdtContent>
            </w:sdt>
          </w:sdtContent>
        </w:sdt>
      </w:sdtContent>
    </w:sdt>
    <w:p w:rsidR="002D0AB7" w:rsidRDefault="002D0AB7" w:rsidP="002D1D01">
      <w:pPr>
        <w:pStyle w:val="a8"/>
        <w:spacing w:after="0" w:line="276" w:lineRule="auto"/>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rsidR="002D0AB7" w:rsidRPr="00C0166C" w:rsidRDefault="00E2464F"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2D2A79" w:rsidRPr="002D2A79">
                    <w:rPr>
                      <w:sz w:val="22"/>
                      <w:szCs w:val="22"/>
                    </w:rPr>
                    <w:t>Κατάθεση αιτημάτων και προτάσεων της ΕΣΑμεΑ επί του σ/ν: ¨</w:t>
                  </w:r>
                  <w:r w:rsidR="00B15E45" w:rsidRPr="00B15E45">
                    <w:rPr>
                      <w:sz w:val="22"/>
                      <w:szCs w:val="22"/>
                    </w:rPr>
                    <w:t>Για την κύρωση των Συμβάσεων Παραχώρησης που έχουν συναφθεί μεταξύ του Ελληνικού Δημοσίου και των Οργανισμών Λιμένος Α.Ε. - Διατάξεις για τη λειτουργία του συστήματος λιμενικής δια</w:t>
                  </w:r>
                  <w:r w:rsidR="00B15E45">
                    <w:rPr>
                      <w:sz w:val="22"/>
                      <w:szCs w:val="22"/>
                    </w:rPr>
                    <w:t>κυβέρνησης και άλλες διατάξεις</w:t>
                  </w:r>
                  <w:r w:rsidR="002D2A79">
                    <w:t>¨</w:t>
                  </w:r>
                </w:sdtContent>
              </w:sdt>
              <w:r w:rsidR="002D0AB7">
                <w:rPr>
                  <w:rStyle w:val="ab"/>
                </w:rPr>
                <w:t>»</w:t>
              </w:r>
            </w:p>
            <w:p w:rsidR="002D0AB7" w:rsidRDefault="00E2464F" w:rsidP="00DD1D03">
              <w:pPr>
                <w:pBdr>
                  <w:top w:val="single" w:sz="4" w:space="1" w:color="auto"/>
                </w:pBdr>
                <w:spacing w:after="480"/>
              </w:pPr>
            </w:p>
          </w:sdtContent>
        </w:sdt>
        <w:sdt>
          <w:sdtPr>
            <w:alias w:val="Σώμα της επιστολής"/>
            <w:tag w:val="Σώμα της επιστολής"/>
            <w:id w:val="-1096393226"/>
            <w:placeholder>
              <w:docPart w:val="D55DD9942FB747919333F5FFCA7331FE"/>
            </w:placeholder>
          </w:sdtPr>
          <w:sdtEndPr/>
          <w:sdtContent>
            <w:p w:rsidR="002D2A79" w:rsidRPr="002D2A79" w:rsidRDefault="002D2A79" w:rsidP="002D2A79">
              <w:pPr>
                <w:rPr>
                  <w:b/>
                </w:rPr>
              </w:pPr>
              <w:r w:rsidRPr="002D2A79">
                <w:rPr>
                  <w:b/>
                </w:rPr>
                <w:t xml:space="preserve">Κύριε Πρόεδρε, Αγαπητά Μέλη </w:t>
              </w:r>
            </w:p>
            <w:p w:rsidR="002D2A79" w:rsidRDefault="002D2A79" w:rsidP="002D2A79">
              <w:r w:rsidRPr="002D2A79">
                <w:rPr>
                  <w:b/>
                </w:rPr>
                <w:t>Η Εθνική Συνομοσπονδία Ατόμων με Αναπηρία (Ε.Σ.Α.μεΑ.)</w:t>
              </w:r>
              <w:r>
                <w:t xml:space="preserve"> –που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με το παρόν έγγραφό της και με αφορμή την κατάθεση στη Βουλή του νομοσχεδίου με θέμα </w:t>
              </w:r>
              <w:r w:rsidRPr="002D2A79">
                <w:rPr>
                  <w:b/>
                  <w:i/>
                </w:rPr>
                <w:t>«</w:t>
              </w:r>
              <w:r w:rsidR="00B15E45" w:rsidRPr="00B15E45">
                <w:rPr>
                  <w:b/>
                  <w:i/>
                </w:rPr>
                <w:t>Για την κύρωση των Συμβάσεων Παραχώρησης που έχουν συναφθεί μεταξύ του Ελληνικού Δημοσίου και των Οργανισμών Λιμένος Α.Ε. - Διατάξεις για τη λειτουργία του συστήματος λιμενικής δια</w:t>
              </w:r>
              <w:r w:rsidR="00B15E45">
                <w:rPr>
                  <w:b/>
                  <w:i/>
                </w:rPr>
                <w:t>κυβέρνησης και άλλες διατάξεις</w:t>
              </w:r>
              <w:r w:rsidRPr="002D2A79">
                <w:rPr>
                  <w:b/>
                  <w:i/>
                </w:rPr>
                <w:t>»</w:t>
              </w:r>
              <w:r>
                <w:t xml:space="preserve"> καταθέτει τις προτάσεις της και ζητάει να κληθεί η Ε.Σ.Α.μεΑ. σε ακρόαση κατά τη συζήτησή του στη συνεδρίαση της Βουλής, προκειμένου να αναπτύξει τις προτάσεις της.                                                    </w:t>
              </w:r>
            </w:p>
            <w:p w:rsidR="00B15E45" w:rsidRPr="001C605A" w:rsidRDefault="00B15E45" w:rsidP="00B15E45">
              <w:pPr>
                <w:spacing w:after="200"/>
                <w:rPr>
                  <w:rFonts w:asciiTheme="majorHAnsi" w:hAnsiTheme="majorHAnsi"/>
                  <w:b/>
                  <w:i/>
                  <w:color w:val="auto"/>
                  <w:sz w:val="23"/>
                  <w:szCs w:val="23"/>
                </w:rPr>
              </w:pPr>
              <w:r w:rsidRPr="001C605A">
                <w:rPr>
                  <w:rFonts w:asciiTheme="majorHAnsi" w:hAnsiTheme="majorHAnsi"/>
                  <w:b/>
                  <w:i/>
                  <w:color w:val="auto"/>
                  <w:sz w:val="23"/>
                  <w:szCs w:val="23"/>
                </w:rPr>
                <w:t xml:space="preserve">Λαμβάνοντας υπόψη: </w:t>
              </w:r>
            </w:p>
            <w:p w:rsidR="00B15E45" w:rsidRPr="00C401CC" w:rsidRDefault="00B15E45" w:rsidP="00C401CC">
              <w:pPr>
                <w:pStyle w:val="a9"/>
                <w:numPr>
                  <w:ilvl w:val="0"/>
                  <w:numId w:val="19"/>
                </w:numPr>
                <w:spacing w:after="200"/>
                <w:rPr>
                  <w:rFonts w:asciiTheme="majorHAnsi" w:hAnsiTheme="majorHAnsi"/>
                  <w:color w:val="auto"/>
                  <w:sz w:val="23"/>
                  <w:szCs w:val="23"/>
                </w:rPr>
              </w:pPr>
              <w:r w:rsidRPr="00C401CC">
                <w:rPr>
                  <w:rFonts w:asciiTheme="majorHAnsi" w:hAnsiTheme="majorHAnsi"/>
                  <w:b/>
                  <w:color w:val="auto"/>
                  <w:sz w:val="23"/>
                  <w:szCs w:val="23"/>
                </w:rPr>
                <w:t>την παρ. 2 του άρθρου 4 του Συντάγματος της χώρας,</w:t>
              </w:r>
              <w:r w:rsidRPr="00C401CC">
                <w:rPr>
                  <w:rFonts w:asciiTheme="majorHAnsi" w:hAnsiTheme="majorHAnsi"/>
                  <w:color w:val="auto"/>
                  <w:sz w:val="23"/>
                  <w:szCs w:val="23"/>
                </w:rPr>
                <w:t xml:space="preserve"> σύμφωνα με το οποίο </w:t>
              </w:r>
              <w:r w:rsidRPr="00C401CC">
                <w:rPr>
                  <w:rFonts w:asciiTheme="majorHAnsi" w:hAnsiTheme="majorHAnsi"/>
                  <w:i/>
                  <w:color w:val="auto"/>
                  <w:sz w:val="23"/>
                  <w:szCs w:val="23"/>
                </w:rPr>
                <w:t>«Οι Έλληνες και οι Ελληνίδες έχουν ίσα δικαιώματα και υποχρεώσεις»</w:t>
              </w:r>
              <w:r w:rsidRPr="00C401CC">
                <w:rPr>
                  <w:rFonts w:asciiTheme="majorHAnsi" w:hAnsiTheme="majorHAnsi"/>
                  <w:color w:val="auto"/>
                  <w:sz w:val="23"/>
                  <w:szCs w:val="23"/>
                </w:rPr>
                <w:t>,</w:t>
              </w:r>
            </w:p>
            <w:p w:rsidR="00B15E45" w:rsidRPr="00C401CC" w:rsidRDefault="00B15E45" w:rsidP="00C401CC">
              <w:pPr>
                <w:pStyle w:val="a9"/>
                <w:numPr>
                  <w:ilvl w:val="0"/>
                  <w:numId w:val="19"/>
                </w:numPr>
                <w:spacing w:after="200"/>
                <w:rPr>
                  <w:rFonts w:asciiTheme="majorHAnsi" w:hAnsiTheme="majorHAnsi"/>
                  <w:color w:val="auto"/>
                  <w:sz w:val="23"/>
                  <w:szCs w:val="23"/>
                </w:rPr>
              </w:pPr>
              <w:r w:rsidRPr="00C401CC">
                <w:rPr>
                  <w:rFonts w:asciiTheme="majorHAnsi" w:hAnsiTheme="majorHAnsi"/>
                  <w:b/>
                  <w:color w:val="auto"/>
                  <w:sz w:val="23"/>
                  <w:szCs w:val="23"/>
                </w:rPr>
                <w:t>την παρ. 6 του άρθρου 21 του Συντάγματος</w:t>
              </w:r>
              <w:r w:rsidRPr="00C401CC">
                <w:rPr>
                  <w:rFonts w:asciiTheme="majorHAnsi" w:hAnsiTheme="majorHAnsi"/>
                  <w:color w:val="auto"/>
                  <w:sz w:val="23"/>
                  <w:szCs w:val="23"/>
                </w:rPr>
                <w:t xml:space="preserve"> </w:t>
              </w:r>
              <w:r w:rsidRPr="00C401CC">
                <w:rPr>
                  <w:rFonts w:asciiTheme="majorHAnsi" w:hAnsiTheme="majorHAnsi"/>
                  <w:b/>
                  <w:color w:val="auto"/>
                  <w:sz w:val="23"/>
                  <w:szCs w:val="23"/>
                </w:rPr>
                <w:t>της χώρας,</w:t>
              </w:r>
              <w:r w:rsidRPr="00C401CC">
                <w:rPr>
                  <w:rFonts w:asciiTheme="majorHAnsi" w:hAnsiTheme="majorHAnsi"/>
                  <w:color w:val="auto"/>
                  <w:sz w:val="23"/>
                  <w:szCs w:val="23"/>
                </w:rPr>
                <w:t xml:space="preserve"> σύμφωνα με την οποία </w:t>
              </w:r>
              <w:r w:rsidRPr="00C401CC">
                <w:rPr>
                  <w:rFonts w:asciiTheme="majorHAnsi" w:hAnsiTheme="majorHAnsi"/>
                  <w:i/>
                  <w:color w:val="auto"/>
                  <w:sz w:val="23"/>
                  <w:szCs w:val="23"/>
                </w:rPr>
                <w:t>«τα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w:t>
              </w:r>
              <w:r w:rsidRPr="00C401CC">
                <w:rPr>
                  <w:rFonts w:asciiTheme="majorHAnsi" w:hAnsiTheme="majorHAnsi"/>
                  <w:color w:val="auto"/>
                  <w:sz w:val="23"/>
                  <w:szCs w:val="23"/>
                </w:rPr>
                <w:t xml:space="preserve">, </w:t>
              </w:r>
            </w:p>
            <w:p w:rsidR="00B15E45" w:rsidRPr="00C401CC" w:rsidRDefault="00B15E45" w:rsidP="00C401CC">
              <w:pPr>
                <w:pStyle w:val="a9"/>
                <w:numPr>
                  <w:ilvl w:val="0"/>
                  <w:numId w:val="19"/>
                </w:numPr>
                <w:spacing w:after="200"/>
                <w:rPr>
                  <w:rFonts w:asciiTheme="majorHAnsi" w:hAnsiTheme="majorHAnsi"/>
                  <w:color w:val="auto"/>
                  <w:sz w:val="23"/>
                  <w:szCs w:val="23"/>
                </w:rPr>
              </w:pPr>
              <w:r w:rsidRPr="00C401CC">
                <w:rPr>
                  <w:rFonts w:asciiTheme="majorHAnsi" w:hAnsiTheme="majorHAnsi"/>
                  <w:b/>
                  <w:color w:val="auto"/>
                  <w:sz w:val="23"/>
                  <w:szCs w:val="23"/>
                </w:rPr>
                <w:t xml:space="preserve">τον ν.4488/2017 (Αρ. ΦΕΚ 137 Α' /13.09.2017), </w:t>
              </w:r>
              <w:r w:rsidRPr="00C401CC">
                <w:rPr>
                  <w:rFonts w:asciiTheme="majorHAnsi" w:hAnsiTheme="majorHAnsi"/>
                  <w:color w:val="auto"/>
                  <w:sz w:val="23"/>
                  <w:szCs w:val="23"/>
                </w:rPr>
                <w:t>ο οποίος αναφέρει:</w:t>
              </w:r>
            </w:p>
            <w:p w:rsidR="00B15E45" w:rsidRPr="00C401CC" w:rsidRDefault="00B15E45" w:rsidP="00C401CC">
              <w:pPr>
                <w:pStyle w:val="a9"/>
                <w:numPr>
                  <w:ilvl w:val="1"/>
                  <w:numId w:val="19"/>
                </w:numPr>
                <w:spacing w:after="200"/>
                <w:rPr>
                  <w:rFonts w:asciiTheme="majorHAnsi" w:hAnsiTheme="majorHAnsi"/>
                  <w:i/>
                  <w:color w:val="auto"/>
                  <w:sz w:val="23"/>
                  <w:szCs w:val="23"/>
                </w:rPr>
              </w:pPr>
              <w:r w:rsidRPr="00C401CC">
                <w:rPr>
                  <w:rFonts w:asciiTheme="majorHAnsi" w:hAnsiTheme="majorHAnsi"/>
                  <w:i/>
                  <w:color w:val="auto"/>
                  <w:sz w:val="23"/>
                  <w:szCs w:val="23"/>
                </w:rPr>
                <w:t xml:space="preserve">στην παρ. 1 του άρθρου 61 τα εξής: «1. Κάθε φυσικό πρόσωπο ή νομικό πρόσωπο δημοσίου ή ιδιωτικού δικαίου υποχρεούται να διασφαλίζει την </w:t>
              </w:r>
              <w:r w:rsidRPr="00C401CC">
                <w:rPr>
                  <w:rFonts w:asciiTheme="majorHAnsi" w:hAnsiTheme="majorHAnsi"/>
                  <w:i/>
                  <w:color w:val="auto"/>
                  <w:sz w:val="23"/>
                  <w:szCs w:val="23"/>
                </w:rPr>
                <w:lastRenderedPageBreak/>
                <w:t>ισότιμη άσκηση των δικαιωμάτων των ΑμεΑ στο πεδίο των αρμοδιοτήτων ή δραστηριοτήτων του, λαμβάνοντας κάθε πρόσφορο μέτρο και απέχοντας από οποιαδήποτε ενέργεια ή πρακτική που ενδέχεται να θίγει την άσκηση των δικαιωμάτων των ΑμεΑ. Ιδίως υποχρεούται: α) να αφαιρεί υφιστάμενα εμπόδια κάθε είδους, β) να τηρεί τις αρχές καθολικού σχεδιασμού σε κάθε τομέα της αρμοδιότητάς του ή της δραστηριοποίησής του, προκειμένου να διασφαλίζει για τα ΑμεΑ την προσβασιμότητα των υποδομών, των υπηρεσιών ή των αγαθών που προσφέρει, γ) να παρέχει, όπου απαιτείται σε συγκεκριμένη περίπτωση, εύλογες προσαρμογές υπό τη μορφή εξατομικευμένων και κατάλληλων τροποποιήσεων, ρυθμίσεων και ενδεδειγμένων μέτρων, χωρίς την επιβολή δυσανάλογου ή αδικαιολόγητου βάρους, δ) να απέχει από πρακτικές, κριτήρια, συνήθειες και συμπεριφορές που συνεπάγονται διακρίσεις σε βάρος των ΑμεΑ, ε) να προάγει με θετικά μέτρα την ισότιμη συμμετοχή και άσκηση των δικαιωμάτων των ΑμεΑ στον τομέα της αρμοδιότητας ή δραστηριότητάς του»,</w:t>
              </w:r>
            </w:p>
            <w:p w:rsidR="00B15E45" w:rsidRPr="00C401CC" w:rsidRDefault="00B15E45" w:rsidP="00C401CC">
              <w:pPr>
                <w:pStyle w:val="a9"/>
                <w:numPr>
                  <w:ilvl w:val="1"/>
                  <w:numId w:val="19"/>
                </w:numPr>
                <w:spacing w:after="200"/>
                <w:rPr>
                  <w:rFonts w:asciiTheme="majorHAnsi" w:hAnsiTheme="majorHAnsi"/>
                  <w:i/>
                  <w:color w:val="auto"/>
                  <w:sz w:val="23"/>
                  <w:szCs w:val="23"/>
                </w:rPr>
              </w:pPr>
              <w:r w:rsidRPr="00C401CC">
                <w:rPr>
                  <w:rFonts w:asciiTheme="majorHAnsi" w:hAnsiTheme="majorHAnsi"/>
                  <w:color w:val="auto"/>
                  <w:sz w:val="23"/>
                  <w:szCs w:val="23"/>
                </w:rPr>
                <w:t xml:space="preserve">στο άρθρο 68 </w:t>
              </w:r>
              <w:r w:rsidRPr="00C401CC">
                <w:rPr>
                  <w:rFonts w:asciiTheme="majorHAnsi" w:hAnsiTheme="majorHAnsi"/>
                  <w:i/>
                  <w:color w:val="auto"/>
                  <w:sz w:val="23"/>
                  <w:szCs w:val="23"/>
                </w:rPr>
                <w:t>«Νομοπαραγωγική διαδικασία, ανάλυση συνεπειών ρυθμίσεων και παραγωγή επίσημων στατιστικών για τα ΑμεΑ»</w:t>
              </w:r>
              <w:r w:rsidRPr="00C401CC">
                <w:rPr>
                  <w:rFonts w:asciiTheme="majorHAnsi" w:hAnsiTheme="majorHAnsi"/>
                  <w:color w:val="auto"/>
                  <w:sz w:val="23"/>
                  <w:szCs w:val="23"/>
                </w:rPr>
                <w:t xml:space="preserve"> τα εξής: «</w:t>
              </w:r>
              <w:r w:rsidRPr="00C401CC">
                <w:rPr>
                  <w:rFonts w:asciiTheme="majorHAnsi" w:hAnsiTheme="majorHAnsi"/>
                  <w:i/>
                  <w:color w:val="auto"/>
                  <w:sz w:val="23"/>
                  <w:szCs w:val="23"/>
                </w:rPr>
                <w:t>1. Κατά το στάδιο της νομοπαραγωγικής διαδικασίας τα αρμόδια όργανα συνεκτιμούν τα δικαιώματα των ΑμεΑ, όπως αυτά περιγράφονται στη Σύμβαση και κατά τη διάρκεια της κατάρτισης σχεδίων νόμου, συνεργάζονται με το Συντονιστικό Μηχανισμό του άρθρου 69 και με το Κεντρικό Σημείο Αναφοράς του άρθρου 70 και τελούν σε διαβούλευση με αναγνωρισμένες αντιπροσωπευτικές οργανώσεις του αναπηρικού κινήματος, με άτομα και με ομάδες ατόμων που έχουν εύλογο ενδιαφέρον για τα δικαιώματα των ΑμεΑ [...]»</w:t>
              </w:r>
            </w:p>
            <w:p w:rsidR="00D07198" w:rsidRPr="00C401CC" w:rsidRDefault="00B15E45" w:rsidP="00C401CC">
              <w:pPr>
                <w:pStyle w:val="a9"/>
                <w:numPr>
                  <w:ilvl w:val="0"/>
                  <w:numId w:val="19"/>
                </w:numPr>
                <w:spacing w:after="200"/>
                <w:rPr>
                  <w:rFonts w:asciiTheme="majorHAnsi" w:hAnsiTheme="majorHAnsi"/>
                  <w:color w:val="auto"/>
                  <w:sz w:val="23"/>
                  <w:szCs w:val="23"/>
                </w:rPr>
              </w:pPr>
              <w:r w:rsidRPr="00C401CC">
                <w:rPr>
                  <w:rFonts w:asciiTheme="majorHAnsi" w:hAnsiTheme="majorHAnsi"/>
                  <w:b/>
                  <w:color w:val="auto"/>
                  <w:sz w:val="23"/>
                  <w:szCs w:val="23"/>
                </w:rPr>
                <w:t>τη  Διεθνή Σύμβαση για τα Δικαιώματα των ατόμων με αναπηρία</w:t>
              </w:r>
              <w:r w:rsidRPr="00C401CC">
                <w:rPr>
                  <w:rFonts w:asciiTheme="majorHAnsi" w:hAnsiTheme="majorHAnsi"/>
                  <w:color w:val="auto"/>
                  <w:sz w:val="23"/>
                  <w:szCs w:val="23"/>
                </w:rPr>
                <w:t xml:space="preserve">, την οποία η χώρα μας μαζί με το προαιρετικό πρωτόκολλό της επικύρωσε με τον Ν.4074/2012 (ΦΕΚ 88 Α΄/11.04.2012), και ως εκ τούτου οφείλει να θέσει σε εφαρμογή σε εθνικό επίπεδο, μέσω της οποίας </w:t>
              </w:r>
              <w:r w:rsidRPr="00C401CC">
                <w:rPr>
                  <w:rFonts w:asciiTheme="majorHAnsi" w:hAnsiTheme="majorHAnsi"/>
                  <w:b/>
                  <w:color w:val="auto"/>
                  <w:sz w:val="23"/>
                  <w:szCs w:val="23"/>
                </w:rPr>
                <w:t xml:space="preserve">στην παρ.3 του άρθρου 4 </w:t>
              </w:r>
              <w:r w:rsidRPr="00C401CC">
                <w:rPr>
                  <w:rFonts w:asciiTheme="majorHAnsi" w:hAnsiTheme="majorHAnsi"/>
                  <w:b/>
                  <w:i/>
                  <w:color w:val="auto"/>
                  <w:sz w:val="23"/>
                  <w:szCs w:val="23"/>
                </w:rPr>
                <w:t>«Γενικές Υποχρεώσεις»</w:t>
              </w:r>
              <w:r w:rsidRPr="00C401CC">
                <w:rPr>
                  <w:rFonts w:asciiTheme="majorHAnsi" w:hAnsiTheme="majorHAnsi"/>
                  <w:b/>
                  <w:color w:val="auto"/>
                  <w:sz w:val="23"/>
                  <w:szCs w:val="23"/>
                </w:rPr>
                <w:t>,</w:t>
              </w:r>
              <w:r w:rsidRPr="00C401CC">
                <w:rPr>
                  <w:rFonts w:asciiTheme="majorHAnsi" w:hAnsiTheme="majorHAnsi"/>
                  <w:color w:val="auto"/>
                  <w:sz w:val="23"/>
                  <w:szCs w:val="23"/>
                </w:rPr>
                <w:t xml:space="preserve"> υπαγορεύεται το εξής: </w:t>
              </w:r>
              <w:r w:rsidRPr="00C401CC">
                <w:rPr>
                  <w:rFonts w:asciiTheme="majorHAnsi" w:hAnsiTheme="majorHAnsi"/>
                  <w:i/>
                  <w:color w:val="auto"/>
                  <w:sz w:val="23"/>
                  <w:szCs w:val="23"/>
                </w:rPr>
                <w:t>«3. Κατά την ανάπτυξη και εφαρμογή της νομοθεσίας και των πολιτικών, για να εφαρμοστεί η παρούσα Σύμβαση και σε άλλες διαδικασίες λήψης αποφάσεων που αφορούν ζητήματα σχετικά με τα άτομα με αναπηρίες, τα Συμβαλλόμενα Κράτη θα συμβουλεύονται συνεχώς και θα εμπλέκουν ενεργά τα άτομα με αναπηρίες, συμπεριλαμβανομένων και των παιδιών με αναπηρίες, μέσω των αντιπροσωπευτικών οργανώσεών τους</w:t>
              </w:r>
              <w:r w:rsidRPr="00C401CC">
                <w:rPr>
                  <w:rFonts w:asciiTheme="majorHAnsi" w:hAnsiTheme="majorHAnsi"/>
                  <w:color w:val="auto"/>
                  <w:sz w:val="23"/>
                  <w:szCs w:val="23"/>
                </w:rPr>
                <w:t xml:space="preserve">», </w:t>
              </w:r>
            </w:p>
            <w:p w:rsidR="00B15E45" w:rsidRPr="001C605A" w:rsidRDefault="00B15E45" w:rsidP="00B15E45">
              <w:pPr>
                <w:spacing w:after="200"/>
                <w:rPr>
                  <w:rFonts w:asciiTheme="majorHAnsi" w:hAnsiTheme="majorHAnsi"/>
                  <w:sz w:val="23"/>
                  <w:szCs w:val="23"/>
                </w:rPr>
              </w:pPr>
              <w:r w:rsidRPr="001C605A">
                <w:rPr>
                  <w:rFonts w:asciiTheme="majorHAnsi" w:hAnsiTheme="majorHAnsi"/>
                  <w:color w:val="auto"/>
                  <w:sz w:val="23"/>
                  <w:szCs w:val="23"/>
                </w:rPr>
                <w:lastRenderedPageBreak/>
                <w:t xml:space="preserve"> </w:t>
              </w:r>
              <w:r w:rsidRPr="001C605A">
                <w:rPr>
                  <w:rFonts w:asciiTheme="majorHAnsi" w:hAnsiTheme="majorHAnsi"/>
                  <w:b/>
                  <w:color w:val="auto"/>
                  <w:sz w:val="23"/>
                  <w:szCs w:val="23"/>
                </w:rPr>
                <w:t>η Ε.Σ.Α.μεΑ. προτείνει και αιτείται ανά άρθρο του παρόντος σχεδίου νόμου τις ακόλουθες τροποποιήσεις, συμπληρώσεις και προσθήκες:</w:t>
              </w:r>
              <w:r w:rsidRPr="001C605A">
                <w:rPr>
                  <w:rFonts w:asciiTheme="majorHAnsi" w:hAnsiTheme="majorHAnsi"/>
                  <w:color w:val="auto"/>
                  <w:sz w:val="23"/>
                  <w:szCs w:val="23"/>
                </w:rPr>
                <w:t xml:space="preserve">  </w:t>
              </w:r>
              <w:r>
                <w:rPr>
                  <w:rFonts w:asciiTheme="majorHAnsi" w:hAnsiTheme="majorHAnsi"/>
                  <w:sz w:val="23"/>
                  <w:szCs w:val="23"/>
                </w:rPr>
                <w:t xml:space="preserve"> </w:t>
              </w:r>
            </w:p>
            <w:p w:rsidR="002D2A79" w:rsidRDefault="00B15E45" w:rsidP="002D2A79">
              <w:pPr>
                <w:rPr>
                  <w:b/>
                </w:rPr>
              </w:pPr>
              <w:r w:rsidRPr="00E83CE7">
                <w:rPr>
                  <w:b/>
                </w:rPr>
                <w:t xml:space="preserve"> </w:t>
              </w:r>
              <w:r w:rsidR="00E83CE7" w:rsidRPr="00E83CE7">
                <w:rPr>
                  <w:b/>
                </w:rPr>
                <w:t>ΑΡΘΡΟ 24 Μεταβατική ρύθμιση κάλυψης κενώ</w:t>
              </w:r>
              <w:r w:rsidR="00E83CE7">
                <w:rPr>
                  <w:b/>
                </w:rPr>
                <w:t>ν οργανικών θέσεων Αξιωματικών Λ.Σ.</w:t>
              </w:r>
              <w:r w:rsidR="00E83CE7" w:rsidRPr="00E83CE7">
                <w:rPr>
                  <w:b/>
                </w:rPr>
                <w:t>–ΕΛ.ΑΚΤ., μέχρι και την εισαγωγή στην Παραγω</w:t>
              </w:r>
              <w:r w:rsidR="00E83CE7">
                <w:rPr>
                  <w:b/>
                </w:rPr>
                <w:t>γική Σχολή Δοκίμων Σημαιοφόρων Λ.Σ.</w:t>
              </w:r>
              <w:r w:rsidR="00E83CE7" w:rsidRPr="00E83CE7">
                <w:rPr>
                  <w:b/>
                </w:rPr>
                <w:t>–ΕΛ.ΑΚΤ. με το σύστημα των Πανελλαδικών Εξετάσεων</w:t>
              </w:r>
            </w:p>
            <w:p w:rsidR="00797804" w:rsidRDefault="00E83CE7" w:rsidP="002D2A79">
              <w:r>
                <w:t>Στην περίπτωση α της παραγράφου 8 να προστεθεί νέα παράγραφος δδ ως εξής:</w:t>
              </w:r>
            </w:p>
            <w:p w:rsidR="00797804" w:rsidRPr="00797804" w:rsidRDefault="00797804" w:rsidP="002D2A79">
              <w:pPr>
                <w:rPr>
                  <w:i/>
                </w:rPr>
              </w:pPr>
              <w:r w:rsidRPr="00797804">
                <w:rPr>
                  <w:i/>
                </w:rPr>
                <w:t>α) Ποσοστό 10% του συνόλου των θέσεων που προκηρύσσονται σύμφωνα με τις διατάξεις του παρόντος, καταλαμβάνονται από τους παρακάτω υποψηφίους, σύμφωνα με τη σειρά επιτυχίας τους στο διαγωνισμό και ανεξαρτήτως κατηγοριών:</w:t>
              </w:r>
            </w:p>
            <w:p w:rsidR="00797804" w:rsidRPr="00797804" w:rsidRDefault="00797804" w:rsidP="002D2A79">
              <w:pPr>
                <w:rPr>
                  <w:i/>
                </w:rPr>
              </w:pPr>
              <w:r w:rsidRPr="00797804">
                <w:rPr>
                  <w:i/>
                </w:rPr>
                <w:t>αα) Πολύτε</w:t>
              </w:r>
              <w:r w:rsidR="00C401CC">
                <w:rPr>
                  <w:i/>
                </w:rPr>
                <w:t>κ</w:t>
              </w:r>
              <w:r w:rsidRPr="00797804">
                <w:rPr>
                  <w:i/>
                </w:rPr>
                <w:t xml:space="preserve">νους και τα τέκνα τους, </w:t>
              </w:r>
            </w:p>
            <w:p w:rsidR="00797804" w:rsidRPr="00797804" w:rsidRDefault="00797804" w:rsidP="002D2A79">
              <w:pPr>
                <w:rPr>
                  <w:i/>
                </w:rPr>
              </w:pPr>
              <w:r w:rsidRPr="00797804">
                <w:rPr>
                  <w:i/>
                </w:rPr>
                <w:t>ββ)….</w:t>
              </w:r>
            </w:p>
            <w:p w:rsidR="00797804" w:rsidRPr="00797804" w:rsidRDefault="00797804" w:rsidP="002D2A79">
              <w:pPr>
                <w:rPr>
                  <w:i/>
                </w:rPr>
              </w:pPr>
              <w:r w:rsidRPr="00797804">
                <w:rPr>
                  <w:i/>
                </w:rPr>
                <w:t>γγ).…</w:t>
              </w:r>
            </w:p>
            <w:p w:rsidR="002D2A79" w:rsidRDefault="00E83CE7" w:rsidP="002D2A79">
              <w:pPr>
                <w:rPr>
                  <w:b/>
                  <w:i/>
                </w:rPr>
              </w:pPr>
              <w:r w:rsidRPr="00797804">
                <w:rPr>
                  <w:b/>
                  <w:i/>
                </w:rPr>
                <w:t xml:space="preserve">δδ) </w:t>
              </w:r>
              <w:r w:rsidR="00797804" w:rsidRPr="00797804">
                <w:rPr>
                  <w:b/>
                  <w:i/>
                </w:rPr>
                <w:t xml:space="preserve">άτομα που έχουν τέκνο, αδελφό ή σύζυγο, καθώς και τέκνα ατόμων με αναπηρία με ποσοστό αναπηρίας 67% και άνω, όπως αυτό διαπιστώνεται από τις αρμόδιες υγειονομικές επιτροπές του ΚΕΠΑ. Κατ` εξαίρεση όταν πρόκειται για άτομα που πάσχουν από νοητική αναπηρία ή αυτισμό, για την παροχή της προστασίας απαιτείται ποσοστό αναπηρίας τουλάχιστον 50%.  </w:t>
              </w:r>
              <w:r w:rsidR="00B15E45" w:rsidRPr="00797804">
                <w:rPr>
                  <w:b/>
                  <w:i/>
                </w:rPr>
                <w:t xml:space="preserve"> </w:t>
              </w:r>
            </w:p>
            <w:p w:rsidR="00797804" w:rsidRPr="00797804" w:rsidRDefault="00797804" w:rsidP="002D2A79">
              <w:pPr>
                <w:rPr>
                  <w:b/>
                  <w:i/>
                </w:rPr>
              </w:pPr>
            </w:p>
            <w:p w:rsidR="002D2A79" w:rsidRPr="00E83CE7" w:rsidRDefault="002D2A79" w:rsidP="002D2A79">
              <w:r w:rsidRPr="002D2A79">
                <w:rPr>
                  <w:b/>
                </w:rPr>
                <w:t xml:space="preserve">ΑΡΘΡΟ </w:t>
              </w:r>
              <w:r w:rsidR="00E83CE7">
                <w:rPr>
                  <w:b/>
                </w:rPr>
                <w:t>25</w:t>
              </w:r>
              <w:r w:rsidR="003701A1">
                <w:rPr>
                  <w:b/>
                </w:rPr>
                <w:t xml:space="preserve"> Μεταβατική </w:t>
              </w:r>
              <w:r w:rsidR="00E83CE7">
                <w:rPr>
                  <w:b/>
                </w:rPr>
                <w:t>ρύθμιση κάλυψης κενών οργανικών θέσεων Λιμενοφυλάκων Λ.Σ. – ΕΛ.ΑΚΤ., μέχρι και την εισαγωγή στην Παραγωγική Σχολή Δοκίμων Λιμενοφυλάκων Λ.Σ. – ΕΛ.ΑΚΤ. με το σύστημα των Πανελλαδικών Εξετάσεων</w:t>
              </w:r>
            </w:p>
            <w:p w:rsidR="00797804" w:rsidRPr="00797804" w:rsidRDefault="00797804" w:rsidP="00797804">
              <w:r w:rsidRPr="00797804">
                <w:t xml:space="preserve"> Στην περίπτωση α της παραγράφου 7 να προστεθεί νέα παράγραφος δδ ως εξής:</w:t>
              </w:r>
            </w:p>
            <w:p w:rsidR="00797804" w:rsidRPr="00797804" w:rsidRDefault="00797804" w:rsidP="00797804">
              <w:pPr>
                <w:rPr>
                  <w:i/>
                </w:rPr>
              </w:pPr>
              <w:r w:rsidRPr="00797804">
                <w:rPr>
                  <w:i/>
                </w:rPr>
                <w:t>α) Ποσοστό 10% του συνόλου των θέσεων που προκηρύσσονται σύμφωνα με τις διατάξεις του παρόντος, καταλαμβάνονται από τους παρακάτω υποψηφίους, σύμφωνα με τη σειρά επιτυχίας τους στο διαγωνισμό και ανεξαρτήτως ειδικοτήτων/κατηγοριών:</w:t>
              </w:r>
            </w:p>
            <w:p w:rsidR="00797804" w:rsidRPr="00797804" w:rsidRDefault="00797804" w:rsidP="00797804">
              <w:pPr>
                <w:rPr>
                  <w:i/>
                </w:rPr>
              </w:pPr>
              <w:r w:rsidRPr="00797804">
                <w:rPr>
                  <w:i/>
                </w:rPr>
                <w:t xml:space="preserve">αα) Πολύτενους και τα τέκνα τους, </w:t>
              </w:r>
            </w:p>
            <w:p w:rsidR="00797804" w:rsidRPr="00797804" w:rsidRDefault="00797804" w:rsidP="00797804">
              <w:pPr>
                <w:rPr>
                  <w:i/>
                </w:rPr>
              </w:pPr>
              <w:r w:rsidRPr="00797804">
                <w:rPr>
                  <w:i/>
                </w:rPr>
                <w:t>ββ)….</w:t>
              </w:r>
            </w:p>
            <w:p w:rsidR="00797804" w:rsidRPr="00797804" w:rsidRDefault="00797804" w:rsidP="00797804">
              <w:pPr>
                <w:rPr>
                  <w:i/>
                </w:rPr>
              </w:pPr>
              <w:r w:rsidRPr="00797804">
                <w:rPr>
                  <w:i/>
                </w:rPr>
                <w:t>γγ).…</w:t>
              </w:r>
            </w:p>
            <w:p w:rsidR="00091240" w:rsidRPr="00797804" w:rsidRDefault="00797804" w:rsidP="00646F21">
              <w:pPr>
                <w:rPr>
                  <w:i/>
                </w:rPr>
              </w:pPr>
              <w:r w:rsidRPr="00797804">
                <w:rPr>
                  <w:i/>
                </w:rPr>
                <w:t xml:space="preserve">δδ) άτομα που έχουν τέκνο, αδελφό ή σύζυγο, καθώς και τέκνα ατόμων με αναπηρία με ποσοστό αναπηρίας 67% και άνω, όπως αυτό διαπιστώνεται από τις αρμόδιες υγειονομικές επιτροπές του ΚΕΠΑ. Κατ` εξαίρεση όταν πρόκειται για άτομα που πάσχουν </w:t>
              </w:r>
              <w:r w:rsidRPr="00797804">
                <w:rPr>
                  <w:i/>
                </w:rPr>
                <w:lastRenderedPageBreak/>
                <w:t xml:space="preserve">από νοητική αναπηρία ή αυτισμό, για την παροχή της προστασίας απαιτείται ποσοστό αναπηρίας τουλάχιστον 50%.   </w:t>
              </w:r>
            </w:p>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rsidR="002D0AB7" w:rsidRDefault="002D0AB7" w:rsidP="006B3225"/>
            <w:p w:rsidR="007F77CE" w:rsidRPr="00E70687" w:rsidRDefault="00E2464F" w:rsidP="006B3225"/>
          </w:sdtContent>
        </w:sdt>
        <w:p w:rsidR="002D0AB7" w:rsidRPr="00E70687" w:rsidRDefault="002D0AB7" w:rsidP="006B3225">
          <w:pPr>
            <w:sectPr w:rsidR="002D0AB7"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rsidR="002D0AB7" w:rsidRPr="00337205" w:rsidRDefault="002D0AB7" w:rsidP="006B3225">
              <w:pPr>
                <w:jc w:val="center"/>
                <w:rPr>
                  <w:b/>
                </w:rPr>
              </w:pPr>
              <w:r w:rsidRPr="00337205">
                <w:rPr>
                  <w:b/>
                </w:rPr>
                <w:t>Με εκτίμηση</w:t>
              </w:r>
            </w:p>
          </w:sdtContent>
        </w:sdt>
      </w:sdtContent>
    </w:sdt>
    <w:p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picture/>
          </w:sdtPr>
          <w:sdtEndPr/>
          <w:sdtContent>
            <w:p w:rsidR="00E55813" w:rsidRPr="00337205" w:rsidRDefault="000F237D" w:rsidP="000F237D">
              <w:pPr>
                <w:spacing w:after="0"/>
                <w:jc w:val="center"/>
                <w:rPr>
                  <w:b/>
                </w:rPr>
              </w:pPr>
              <w:r>
                <w:rPr>
                  <w:b/>
                  <w:noProof/>
                  <w:lang w:eastAsia="el-GR"/>
                </w:rPr>
                <w:drawing>
                  <wp:inline distT="0" distB="0" distL="0" distR="0">
                    <wp:extent cx="2160000" cy="810000"/>
                    <wp:effectExtent l="0" t="0" r="0" b="9525"/>
                    <wp:docPr id="4"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tretch>
                              <a:fillRect/>
                            </a:stretch>
                          </pic:blipFill>
                          <pic:spPr bwMode="auto">
                            <a:xfrm>
                              <a:off x="0" y="0"/>
                              <a:ext cx="2160000" cy="810000"/>
                            </a:xfrm>
                            <a:prstGeom prst="rect">
                              <a:avLst/>
                            </a:prstGeom>
                            <a:noFill/>
                            <a:ln>
                              <a:noFill/>
                            </a:ln>
                          </pic:spPr>
                        </pic:pic>
                      </a:graphicData>
                    </a:graphic>
                  </wp:inline>
                </w:drawing>
              </w:r>
            </w:p>
          </w:sdtContent>
        </w:sdt>
        <w:p w:rsidR="002D0AB7" w:rsidRPr="00337205" w:rsidRDefault="002D0AB7" w:rsidP="006B3225">
          <w:pPr>
            <w:jc w:val="center"/>
            <w:rPr>
              <w:b/>
            </w:rPr>
          </w:pPr>
          <w:r w:rsidRPr="00337205">
            <w:rPr>
              <w:b/>
            </w:rPr>
            <w:t>Ι. Βαρδακαστάνης</w:t>
          </w:r>
        </w:p>
        <w:p w:rsidR="002D0AB7" w:rsidRDefault="00E2464F"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picture/>
          </w:sdtPr>
          <w:sdtEndPr/>
          <w:sdtContent>
            <w:p w:rsidR="000F237D" w:rsidRPr="00337205" w:rsidRDefault="000F237D" w:rsidP="000F237D">
              <w:pPr>
                <w:spacing w:after="0"/>
                <w:jc w:val="center"/>
                <w:rPr>
                  <w:b/>
                </w:rPr>
              </w:pPr>
              <w:r>
                <w:rPr>
                  <w:b/>
                  <w:noProof/>
                  <w:lang w:eastAsia="el-GR"/>
                </w:rPr>
                <w:drawing>
                  <wp:inline distT="0" distB="0" distL="0" distR="0">
                    <wp:extent cx="2160000" cy="810000"/>
                    <wp:effectExtent l="0" t="0" r="0" b="9525"/>
                    <wp:docPr id="5" name="Εικόνα 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rsidR="002D0AB7" w:rsidRPr="00337205" w:rsidRDefault="002D0AB7" w:rsidP="006B3225">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rsidR="002D0AB7" w:rsidRDefault="002D0AB7" w:rsidP="006B3225">
          <w:pPr>
            <w:jc w:val="center"/>
            <w:rPr>
              <w:b/>
            </w:rPr>
            <w:sectPr w:rsidR="002D0AB7" w:rsidSect="00E70687">
              <w:type w:val="continuous"/>
              <w:pgSz w:w="11906" w:h="16838"/>
              <w:pgMar w:top="1440" w:right="1800" w:bottom="1440" w:left="1800" w:header="709" w:footer="370" w:gutter="0"/>
              <w:cols w:num="2" w:space="708"/>
              <w:docGrid w:linePitch="360"/>
            </w:sectPr>
          </w:pPr>
        </w:p>
        <w:p w:rsidR="00FC692B" w:rsidRDefault="00E2464F" w:rsidP="006B3225">
          <w:pPr>
            <w:spacing w:line="240" w:lineRule="auto"/>
            <w:jc w:val="left"/>
            <w:rPr>
              <w:b/>
            </w:rPr>
          </w:pPr>
        </w:p>
      </w:sdtContent>
    </w:sdt>
    <w:p w:rsidR="002D0AB7" w:rsidRDefault="002D0AB7" w:rsidP="006B3225">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p w:rsidR="006B00A7" w:rsidRDefault="00A1639B" w:rsidP="00A1639B">
              <w:pPr>
                <w:pStyle w:val="Bullets0"/>
                <w:rPr>
                  <w:rStyle w:val="BulletsChar"/>
                </w:rPr>
              </w:pPr>
              <w:r w:rsidRPr="00A1639B">
                <w:rPr>
                  <w:rStyle w:val="BulletsChar"/>
                </w:rPr>
                <w:t xml:space="preserve">Γραφείο Υπουργού </w:t>
              </w:r>
              <w:r w:rsidR="006B00A7">
                <w:rPr>
                  <w:rStyle w:val="BulletsChar"/>
                </w:rPr>
                <w:t>Ναυτιλίας και Νησιωτικής Πολιτικής</w:t>
              </w:r>
              <w:r w:rsidRPr="00A1639B">
                <w:rPr>
                  <w:rStyle w:val="BulletsChar"/>
                </w:rPr>
                <w:t>, κ.</w:t>
              </w:r>
              <w:r w:rsidR="006B00A7">
                <w:rPr>
                  <w:rStyle w:val="BulletsChar"/>
                </w:rPr>
                <w:t xml:space="preserve"> Φ. Κουβέλη</w:t>
              </w:r>
            </w:p>
            <w:p w:rsidR="006B00A7" w:rsidRDefault="006B00A7" w:rsidP="00A1639B">
              <w:pPr>
                <w:pStyle w:val="Bullets0"/>
                <w:rPr>
                  <w:rStyle w:val="BulletsChar"/>
                </w:rPr>
              </w:pPr>
              <w:r w:rsidRPr="006B00A7">
                <w:rPr>
                  <w:rStyle w:val="BulletsChar"/>
                </w:rPr>
                <w:t xml:space="preserve">Γραφείο </w:t>
              </w:r>
              <w:r>
                <w:rPr>
                  <w:rStyle w:val="BulletsChar"/>
                </w:rPr>
                <w:t xml:space="preserve">Αναπλ. </w:t>
              </w:r>
              <w:r w:rsidRPr="006B00A7">
                <w:rPr>
                  <w:rStyle w:val="BulletsChar"/>
                </w:rPr>
                <w:t>Υπουργού Ναυτιλία</w:t>
              </w:r>
              <w:r>
                <w:rPr>
                  <w:rStyle w:val="BulletsChar"/>
                </w:rPr>
                <w:t>ς και Νησιωτικής Πολιτικής, κ. Ν</w:t>
              </w:r>
              <w:r w:rsidRPr="006B00A7">
                <w:rPr>
                  <w:rStyle w:val="BulletsChar"/>
                </w:rPr>
                <w:t xml:space="preserve">. </w:t>
              </w:r>
              <w:r>
                <w:rPr>
                  <w:rStyle w:val="BulletsChar"/>
                </w:rPr>
                <w:t>Σαντορινιού</w:t>
              </w:r>
            </w:p>
            <w:p w:rsidR="00A1639B" w:rsidRDefault="00A1639B" w:rsidP="00A1639B">
              <w:pPr>
                <w:pStyle w:val="Bullets0"/>
                <w:rPr>
                  <w:rStyle w:val="BulletsChar"/>
                </w:rPr>
              </w:pPr>
              <w:r w:rsidRPr="00A1639B">
                <w:rPr>
                  <w:rStyle w:val="BulletsChar"/>
                </w:rPr>
                <w:t xml:space="preserve">Γενικό Γραμματέα Υπουργείου </w:t>
              </w:r>
              <w:r w:rsidR="006B00A7">
                <w:rPr>
                  <w:rStyle w:val="BulletsChar"/>
                </w:rPr>
                <w:t>Ναυτιλίας και Νησιωτικής Πολιτικής</w:t>
              </w:r>
              <w:r w:rsidRPr="00A1639B">
                <w:rPr>
                  <w:rStyle w:val="BulletsChar"/>
                </w:rPr>
                <w:t xml:space="preserve">, κ. </w:t>
              </w:r>
              <w:r w:rsidR="006B00A7">
                <w:rPr>
                  <w:rStyle w:val="BulletsChar"/>
                </w:rPr>
                <w:t>Δ. Τεμπονέρα</w:t>
              </w:r>
            </w:p>
            <w:p w:rsidR="006B00A7" w:rsidRPr="006B00A7" w:rsidRDefault="006B00A7" w:rsidP="006B00A7">
              <w:pPr>
                <w:pStyle w:val="Bullets0"/>
                <w:rPr>
                  <w:rStyle w:val="BulletsChar"/>
                </w:rPr>
              </w:pPr>
              <w:r w:rsidRPr="006B00A7">
                <w:rPr>
                  <w:rStyle w:val="BulletsChar"/>
                </w:rPr>
                <w:t xml:space="preserve">Γενικό Γραμματέα </w:t>
              </w:r>
              <w:r>
                <w:rPr>
                  <w:rStyle w:val="BulletsChar"/>
                </w:rPr>
                <w:t>Λιμένων, Λιμενικής</w:t>
              </w:r>
              <w:r w:rsidRPr="006B00A7">
                <w:rPr>
                  <w:rStyle w:val="BulletsChar"/>
                </w:rPr>
                <w:t xml:space="preserve"> Πολιτικής</w:t>
              </w:r>
              <w:r>
                <w:rPr>
                  <w:rStyle w:val="BulletsChar"/>
                </w:rPr>
                <w:t xml:space="preserve"> και Ναυτιλιακών Επενδύσεων, κ. Χ</w:t>
              </w:r>
              <w:r w:rsidRPr="006B00A7">
                <w:rPr>
                  <w:rStyle w:val="BulletsChar"/>
                </w:rPr>
                <w:t xml:space="preserve">. </w:t>
              </w:r>
              <w:r>
                <w:rPr>
                  <w:rStyle w:val="BulletsChar"/>
                </w:rPr>
                <w:t>Λαμπρίδη</w:t>
              </w:r>
            </w:p>
            <w:p w:rsidR="00DF7B7B" w:rsidRPr="00DF7B7B" w:rsidRDefault="00CA0D5A" w:rsidP="00A1639B">
              <w:pPr>
                <w:pStyle w:val="Bullets0"/>
                <w:rPr>
                  <w:rStyle w:val="BulletsChar"/>
                </w:rPr>
              </w:pPr>
              <w:r>
                <w:rPr>
                  <w:rStyle w:val="BulletsChar"/>
                </w:rPr>
                <w:t>Φορείς Μέλη ΕΣΑμεΑ</w:t>
              </w:r>
            </w:p>
            <w:p w:rsidR="002D0AB7" w:rsidRPr="000E2BB8" w:rsidRDefault="00E2464F" w:rsidP="00B44B27">
              <w:pPr>
                <w:pStyle w:val="Bullets0"/>
                <w:numPr>
                  <w:ilvl w:val="0"/>
                  <w:numId w:val="0"/>
                </w:numPr>
                <w:ind w:left="272"/>
              </w:pPr>
            </w:p>
          </w:sdtContent>
        </w:sdt>
      </w:sdtContent>
    </w:sdt>
    <w:p w:rsidR="00CD3CE2" w:rsidRDefault="00CD3CE2" w:rsidP="00CD3CE2"/>
    <w:bookmarkStart w:id="16"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rsidTr="00CF788E">
            <w:tc>
              <w:tcPr>
                <w:tcW w:w="1701" w:type="dxa"/>
                <w:shd w:val="clear" w:color="auto" w:fill="F2F2F2" w:themeFill="background1" w:themeFillShade="F2"/>
              </w:tcPr>
              <w:p w:rsidR="005925BA" w:rsidRDefault="005925BA" w:rsidP="00CF788E">
                <w:pPr>
                  <w:spacing w:before="60" w:after="60"/>
                  <w:jc w:val="right"/>
                </w:pPr>
                <w:r>
                  <w:rPr>
                    <w:noProof/>
                    <w:lang w:eastAsia="el-GR"/>
                  </w:rPr>
                  <w:drawing>
                    <wp:inline distT="0" distB="0" distL="0" distR="0" wp14:anchorId="5F72FCF8" wp14:editId="595F9EFE">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rsidR="005925BA" w:rsidRPr="00CD3CE2" w:rsidRDefault="00E2464F"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64F" w:rsidRDefault="00E2464F" w:rsidP="00A5663B">
      <w:pPr>
        <w:spacing w:after="0" w:line="240" w:lineRule="auto"/>
      </w:pPr>
      <w:r>
        <w:separator/>
      </w:r>
    </w:p>
    <w:p w:rsidR="00E2464F" w:rsidRDefault="00E2464F"/>
  </w:endnote>
  <w:endnote w:type="continuationSeparator" w:id="0">
    <w:p w:rsidR="00E2464F" w:rsidRDefault="00E2464F" w:rsidP="00A5663B">
      <w:pPr>
        <w:spacing w:after="0" w:line="240" w:lineRule="auto"/>
      </w:pPr>
      <w:r>
        <w:continuationSeparator/>
      </w:r>
    </w:p>
    <w:p w:rsidR="00E2464F" w:rsidRDefault="00E246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 w:name="_Hlk534861024" w:displacedByCustomXml="next"/>
  <w:bookmarkStart w:id="7" w:name="_Hlk534861023" w:displacedByCustomXml="next"/>
  <w:sdt>
    <w:sdtPr>
      <w:id w:val="-1218737665"/>
      <w:lock w:val="sdtContentLocked"/>
      <w:placeholder>
        <w:docPart w:val="0DA6AE18ECE54D649B9634ED1E822F47"/>
      </w:placeholder>
      <w:group/>
    </w:sdtPr>
    <w:sdtEndPr/>
    <w:sdtContent>
      <w:p w:rsidR="00811A9B" w:rsidRPr="005925BA" w:rsidRDefault="005925BA" w:rsidP="005925BA">
        <w:pPr>
          <w:pStyle w:val="a6"/>
          <w:ind w:left="-1797"/>
        </w:pPr>
        <w:r>
          <w:rPr>
            <w:noProof/>
            <w:lang w:eastAsia="el-GR"/>
          </w:rPr>
          <w:drawing>
            <wp:inline distT="0" distB="0" distL="0" distR="0" wp14:anchorId="3277D7F7" wp14:editId="3AA4DFEB">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6" w:displacedByCustomXml="prev"/>
  <w:bookmarkEnd w:id="7"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rsidR="00042CAA" w:rsidRDefault="00042CAA" w:rsidP="00CF788E">
            <w:pPr>
              <w:pStyle w:val="a5"/>
              <w:spacing w:before="240"/>
              <w:rPr>
                <w:rFonts w:asciiTheme="minorHAnsi" w:hAnsiTheme="minorHAnsi"/>
                <w:color w:val="auto"/>
              </w:rPr>
            </w:pPr>
          </w:p>
          <w:p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rsidR="00873CF6">
              <w:rPr>
                <w:noProof/>
              </w:rPr>
              <w:t>2</w:t>
            </w:r>
            <w:r>
              <w:fldChar w:fldCharType="end"/>
            </w:r>
          </w:p>
          <w:p w:rsidR="002D0AB7" w:rsidRPr="00042CAA" w:rsidRDefault="00E2464F" w:rsidP="00042CAA">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64F" w:rsidRDefault="00E2464F" w:rsidP="00A5663B">
      <w:pPr>
        <w:spacing w:after="0" w:line="240" w:lineRule="auto"/>
      </w:pPr>
      <w:bookmarkStart w:id="0" w:name="_Hlk484772647"/>
      <w:bookmarkEnd w:id="0"/>
      <w:r>
        <w:separator/>
      </w:r>
    </w:p>
    <w:p w:rsidR="00E2464F" w:rsidRDefault="00E2464F"/>
  </w:footnote>
  <w:footnote w:type="continuationSeparator" w:id="0">
    <w:p w:rsidR="00E2464F" w:rsidRDefault="00E2464F" w:rsidP="00A5663B">
      <w:pPr>
        <w:spacing w:after="0" w:line="240" w:lineRule="auto"/>
      </w:pPr>
      <w:r>
        <w:continuationSeparator/>
      </w:r>
    </w:p>
    <w:p w:rsidR="00E2464F" w:rsidRDefault="00E246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2" w:name="_Hlk534861696" w:displacedByCustomXml="next"/>
  <w:bookmarkStart w:id="3" w:name="_Hlk534861695" w:displacedByCustomXml="next"/>
  <w:bookmarkStart w:id="4" w:name="_Hlk534861159" w:displacedByCustomXml="next"/>
  <w:bookmarkStart w:id="5" w:name="_Hlk534861158" w:displacedByCustomXml="next"/>
  <w:sdt>
    <w:sdtPr>
      <w:rPr>
        <w:lang w:val="en-US"/>
      </w:rPr>
      <w:id w:val="-739711183"/>
      <w:lock w:val="sdtContentLocked"/>
      <w:placeholder>
        <w:docPart w:val="7C272E215D264D1E8ADAD1846C88D206"/>
      </w:placeholder>
      <w:group/>
    </w:sdtPr>
    <w:sdtEndPr/>
    <w:sdtContent>
      <w:p w:rsidR="005925BA" w:rsidRPr="005925BA" w:rsidRDefault="005925BA" w:rsidP="005925BA">
        <w:pPr>
          <w:pStyle w:val="a5"/>
          <w:ind w:left="-1800"/>
          <w:rPr>
            <w:lang w:val="en-US"/>
          </w:rPr>
        </w:pPr>
        <w:r>
          <w:rPr>
            <w:noProof/>
            <w:lang w:eastAsia="el-GR"/>
          </w:rPr>
          <w:drawing>
            <wp:inline distT="0" distB="0" distL="0" distR="0" wp14:anchorId="11090480" wp14:editId="21FE525D">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2" w:displacedByCustomXml="prev"/>
  <w:bookmarkEnd w:id="3" w:displacedByCustomXml="prev"/>
  <w:bookmarkEnd w:id="4" w:displacedByCustomXml="prev"/>
  <w:bookmarkEnd w:id="5"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7C272E215D264D1E8ADAD1846C88D206"/>
      </w:placeholder>
      <w:group/>
    </w:sdtPr>
    <w:sdtEndPr/>
    <w:sdtContent>
      <w:p w:rsidR="002D0AB7" w:rsidRPr="00042CAA" w:rsidRDefault="00042CAA" w:rsidP="00042CAA">
        <w:pPr>
          <w:pStyle w:val="a5"/>
          <w:ind w:left="-1800"/>
        </w:pPr>
        <w:r>
          <w:rPr>
            <w:noProof/>
            <w:lang w:eastAsia="el-GR"/>
          </w:rPr>
          <w:drawing>
            <wp:inline distT="0" distB="0" distL="0" distR="0" wp14:anchorId="3E13679C" wp14:editId="097AAB49">
              <wp:extent cx="7553325" cy="1438642"/>
              <wp:effectExtent l="0" t="0" r="0" b="9525"/>
              <wp:docPr id="82" name="Εικόνα 8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62F32"/>
    <w:multiLevelType w:val="hybridMultilevel"/>
    <w:tmpl w:val="1436BE70"/>
    <w:lvl w:ilvl="0" w:tplc="8D2E8494">
      <w:numFmt w:val="bullet"/>
      <w:lvlText w:val="•"/>
      <w:lvlJc w:val="left"/>
      <w:pPr>
        <w:ind w:left="720" w:hanging="720"/>
      </w:pPr>
      <w:rPr>
        <w:rFonts w:ascii="Cambria" w:eastAsia="Times New Roman" w:hAnsi="Cambria" w:cs="Times New Roman" w:hint="default"/>
      </w:rPr>
    </w:lvl>
    <w:lvl w:ilvl="1" w:tplc="422AB5A8">
      <w:numFmt w:val="bullet"/>
      <w:lvlText w:val="-"/>
      <w:lvlJc w:val="left"/>
      <w:pPr>
        <w:ind w:left="1080" w:hanging="360"/>
      </w:pPr>
      <w:rPr>
        <w:rFonts w:ascii="Cambria" w:eastAsia="Times New Roman" w:hAnsi="Cambria" w:cs="Times New Roman"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nsid w:val="1BCD2E1D"/>
    <w:multiLevelType w:val="hybridMultilevel"/>
    <w:tmpl w:val="96081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14F406F"/>
    <w:multiLevelType w:val="hybridMultilevel"/>
    <w:tmpl w:val="D2246F4E"/>
    <w:lvl w:ilvl="0" w:tplc="768C5CE6">
      <w:numFmt w:val="bullet"/>
      <w:pStyle w:val="Bullets0"/>
      <w:lvlText w:val="-"/>
      <w:lvlJc w:val="left"/>
      <w:pPr>
        <w:ind w:left="2422"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9"/>
  </w:num>
  <w:num w:numId="11">
    <w:abstractNumId w:val="8"/>
  </w:num>
  <w:num w:numId="12">
    <w:abstractNumId w:val="5"/>
  </w:num>
  <w:num w:numId="13">
    <w:abstractNumId w:val="2"/>
  </w:num>
  <w:num w:numId="14">
    <w:abstractNumId w:val="0"/>
  </w:num>
  <w:num w:numId="15">
    <w:abstractNumId w:val="4"/>
  </w:num>
  <w:num w:numId="16">
    <w:abstractNumId w:val="6"/>
  </w:num>
  <w:num w:numId="17">
    <w:abstractNumId w:val="7"/>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0A2"/>
    <w:rsid w:val="00011187"/>
    <w:rsid w:val="000145EC"/>
    <w:rsid w:val="00016434"/>
    <w:rsid w:val="000224C1"/>
    <w:rsid w:val="000319B3"/>
    <w:rsid w:val="0003631E"/>
    <w:rsid w:val="00042CAA"/>
    <w:rsid w:val="0008214A"/>
    <w:rsid w:val="000864B5"/>
    <w:rsid w:val="00091240"/>
    <w:rsid w:val="000A425D"/>
    <w:rsid w:val="000A5463"/>
    <w:rsid w:val="000C099E"/>
    <w:rsid w:val="000C14DF"/>
    <w:rsid w:val="000C602B"/>
    <w:rsid w:val="000D34E2"/>
    <w:rsid w:val="000D3D70"/>
    <w:rsid w:val="000E0567"/>
    <w:rsid w:val="000E2BB8"/>
    <w:rsid w:val="000E30A0"/>
    <w:rsid w:val="000E44E8"/>
    <w:rsid w:val="000F237D"/>
    <w:rsid w:val="000F4280"/>
    <w:rsid w:val="00104FD0"/>
    <w:rsid w:val="0016039E"/>
    <w:rsid w:val="00162CAE"/>
    <w:rsid w:val="001A62AD"/>
    <w:rsid w:val="001A67BA"/>
    <w:rsid w:val="001B3428"/>
    <w:rsid w:val="001B7832"/>
    <w:rsid w:val="001D489B"/>
    <w:rsid w:val="001E177F"/>
    <w:rsid w:val="001E439E"/>
    <w:rsid w:val="001F02A6"/>
    <w:rsid w:val="001F1161"/>
    <w:rsid w:val="001F79A0"/>
    <w:rsid w:val="002058AF"/>
    <w:rsid w:val="002251AF"/>
    <w:rsid w:val="00236A27"/>
    <w:rsid w:val="00247318"/>
    <w:rsid w:val="00255DD0"/>
    <w:rsid w:val="002570E4"/>
    <w:rsid w:val="00264E1B"/>
    <w:rsid w:val="0026597B"/>
    <w:rsid w:val="0027672E"/>
    <w:rsid w:val="002B43D6"/>
    <w:rsid w:val="002B493A"/>
    <w:rsid w:val="002C4134"/>
    <w:rsid w:val="002D0AB7"/>
    <w:rsid w:val="002D1046"/>
    <w:rsid w:val="002D1D01"/>
    <w:rsid w:val="002D2A79"/>
    <w:rsid w:val="00301E00"/>
    <w:rsid w:val="003071D9"/>
    <w:rsid w:val="00322A0B"/>
    <w:rsid w:val="00326F43"/>
    <w:rsid w:val="003336F9"/>
    <w:rsid w:val="00337205"/>
    <w:rsid w:val="0034662F"/>
    <w:rsid w:val="00361404"/>
    <w:rsid w:val="003701A1"/>
    <w:rsid w:val="00371AFA"/>
    <w:rsid w:val="003956F9"/>
    <w:rsid w:val="003A4B9D"/>
    <w:rsid w:val="003B0D39"/>
    <w:rsid w:val="003B245B"/>
    <w:rsid w:val="003B3E78"/>
    <w:rsid w:val="003B6AC5"/>
    <w:rsid w:val="003D4D14"/>
    <w:rsid w:val="003D73D0"/>
    <w:rsid w:val="003E38C4"/>
    <w:rsid w:val="003F789B"/>
    <w:rsid w:val="00412BB7"/>
    <w:rsid w:val="00413626"/>
    <w:rsid w:val="00415D99"/>
    <w:rsid w:val="00421FA4"/>
    <w:rsid w:val="00427DE8"/>
    <w:rsid w:val="0043270D"/>
    <w:rsid w:val="004355A3"/>
    <w:rsid w:val="00435B18"/>
    <w:rsid w:val="004406A4"/>
    <w:rsid w:val="004443A9"/>
    <w:rsid w:val="00472CFE"/>
    <w:rsid w:val="00483ACE"/>
    <w:rsid w:val="00486A3F"/>
    <w:rsid w:val="004A2EF2"/>
    <w:rsid w:val="004A6201"/>
    <w:rsid w:val="004D0BE2"/>
    <w:rsid w:val="004D5A2F"/>
    <w:rsid w:val="00501973"/>
    <w:rsid w:val="005077D6"/>
    <w:rsid w:val="005169F1"/>
    <w:rsid w:val="00517354"/>
    <w:rsid w:val="0052064A"/>
    <w:rsid w:val="00523EAA"/>
    <w:rsid w:val="00540ED2"/>
    <w:rsid w:val="00542651"/>
    <w:rsid w:val="00547D78"/>
    <w:rsid w:val="00573B0A"/>
    <w:rsid w:val="0058273F"/>
    <w:rsid w:val="00583700"/>
    <w:rsid w:val="005925BA"/>
    <w:rsid w:val="005956CD"/>
    <w:rsid w:val="005B00C5"/>
    <w:rsid w:val="005B661B"/>
    <w:rsid w:val="005C5A0B"/>
    <w:rsid w:val="005C6905"/>
    <w:rsid w:val="005D05EE"/>
    <w:rsid w:val="005D2B1C"/>
    <w:rsid w:val="005D30F3"/>
    <w:rsid w:val="005D44A7"/>
    <w:rsid w:val="005F5A54"/>
    <w:rsid w:val="005F7905"/>
    <w:rsid w:val="00610A7E"/>
    <w:rsid w:val="00612214"/>
    <w:rsid w:val="00617AC0"/>
    <w:rsid w:val="00642AA7"/>
    <w:rsid w:val="00646F21"/>
    <w:rsid w:val="00647299"/>
    <w:rsid w:val="00651CD5"/>
    <w:rsid w:val="00655E54"/>
    <w:rsid w:val="0066741D"/>
    <w:rsid w:val="006A785A"/>
    <w:rsid w:val="006B00A7"/>
    <w:rsid w:val="006D0554"/>
    <w:rsid w:val="006E692F"/>
    <w:rsid w:val="006E6B93"/>
    <w:rsid w:val="006F050F"/>
    <w:rsid w:val="006F68D0"/>
    <w:rsid w:val="00711E56"/>
    <w:rsid w:val="0072145A"/>
    <w:rsid w:val="00752538"/>
    <w:rsid w:val="00754C30"/>
    <w:rsid w:val="00763FCD"/>
    <w:rsid w:val="00767D09"/>
    <w:rsid w:val="0077016C"/>
    <w:rsid w:val="007715CC"/>
    <w:rsid w:val="00771C72"/>
    <w:rsid w:val="00797804"/>
    <w:rsid w:val="007A781F"/>
    <w:rsid w:val="007E66D9"/>
    <w:rsid w:val="007F77CE"/>
    <w:rsid w:val="0080787B"/>
    <w:rsid w:val="008104A7"/>
    <w:rsid w:val="00811A9B"/>
    <w:rsid w:val="008321C9"/>
    <w:rsid w:val="0083359D"/>
    <w:rsid w:val="00842387"/>
    <w:rsid w:val="00857467"/>
    <w:rsid w:val="00873CF6"/>
    <w:rsid w:val="00876B17"/>
    <w:rsid w:val="00880266"/>
    <w:rsid w:val="00886205"/>
    <w:rsid w:val="00890E52"/>
    <w:rsid w:val="008960BB"/>
    <w:rsid w:val="008A26A3"/>
    <w:rsid w:val="008A421B"/>
    <w:rsid w:val="008A6E49"/>
    <w:rsid w:val="008B3278"/>
    <w:rsid w:val="008B5B34"/>
    <w:rsid w:val="008F4A49"/>
    <w:rsid w:val="00936BAC"/>
    <w:rsid w:val="009503E0"/>
    <w:rsid w:val="009507F4"/>
    <w:rsid w:val="00953909"/>
    <w:rsid w:val="00955290"/>
    <w:rsid w:val="00972E62"/>
    <w:rsid w:val="00980425"/>
    <w:rsid w:val="00995C38"/>
    <w:rsid w:val="009A30F5"/>
    <w:rsid w:val="009A4192"/>
    <w:rsid w:val="009B3183"/>
    <w:rsid w:val="009C06F7"/>
    <w:rsid w:val="009C4D45"/>
    <w:rsid w:val="009E6773"/>
    <w:rsid w:val="009F50A2"/>
    <w:rsid w:val="00A04D49"/>
    <w:rsid w:val="00A0512E"/>
    <w:rsid w:val="00A1639B"/>
    <w:rsid w:val="00A24A4D"/>
    <w:rsid w:val="00A32253"/>
    <w:rsid w:val="00A35350"/>
    <w:rsid w:val="00A37FF5"/>
    <w:rsid w:val="00A5663B"/>
    <w:rsid w:val="00A66F36"/>
    <w:rsid w:val="00A8235C"/>
    <w:rsid w:val="00A862B1"/>
    <w:rsid w:val="00A90B3F"/>
    <w:rsid w:val="00A9231C"/>
    <w:rsid w:val="00AB2576"/>
    <w:rsid w:val="00AC0D27"/>
    <w:rsid w:val="00AC766E"/>
    <w:rsid w:val="00AD13AB"/>
    <w:rsid w:val="00AD417C"/>
    <w:rsid w:val="00AF66C4"/>
    <w:rsid w:val="00AF7DE7"/>
    <w:rsid w:val="00B01AB1"/>
    <w:rsid w:val="00B14597"/>
    <w:rsid w:val="00B15E45"/>
    <w:rsid w:val="00B16964"/>
    <w:rsid w:val="00B24CE3"/>
    <w:rsid w:val="00B24F28"/>
    <w:rsid w:val="00B25CDE"/>
    <w:rsid w:val="00B27D47"/>
    <w:rsid w:val="00B30846"/>
    <w:rsid w:val="00B343FA"/>
    <w:rsid w:val="00B4479D"/>
    <w:rsid w:val="00B44B27"/>
    <w:rsid w:val="00B555D0"/>
    <w:rsid w:val="00B61BDB"/>
    <w:rsid w:val="00B73A9A"/>
    <w:rsid w:val="00B926D1"/>
    <w:rsid w:val="00B92A91"/>
    <w:rsid w:val="00B977C3"/>
    <w:rsid w:val="00BB1DBD"/>
    <w:rsid w:val="00BD105C"/>
    <w:rsid w:val="00BE04D8"/>
    <w:rsid w:val="00BE52FC"/>
    <w:rsid w:val="00BE6103"/>
    <w:rsid w:val="00BF7928"/>
    <w:rsid w:val="00C0166C"/>
    <w:rsid w:val="00C04B0C"/>
    <w:rsid w:val="00C13744"/>
    <w:rsid w:val="00C2234A"/>
    <w:rsid w:val="00C2350C"/>
    <w:rsid w:val="00C243A1"/>
    <w:rsid w:val="00C31308"/>
    <w:rsid w:val="00C32FBB"/>
    <w:rsid w:val="00C401CC"/>
    <w:rsid w:val="00C4571F"/>
    <w:rsid w:val="00C46534"/>
    <w:rsid w:val="00C55583"/>
    <w:rsid w:val="00C729A1"/>
    <w:rsid w:val="00C80445"/>
    <w:rsid w:val="00C83F4F"/>
    <w:rsid w:val="00C864D7"/>
    <w:rsid w:val="00C90057"/>
    <w:rsid w:val="00CA0D5A"/>
    <w:rsid w:val="00CA1AE3"/>
    <w:rsid w:val="00CA3674"/>
    <w:rsid w:val="00CB7C4D"/>
    <w:rsid w:val="00CC22AC"/>
    <w:rsid w:val="00CC59F5"/>
    <w:rsid w:val="00CC62E9"/>
    <w:rsid w:val="00CD13E7"/>
    <w:rsid w:val="00CD3CE2"/>
    <w:rsid w:val="00CD6D05"/>
    <w:rsid w:val="00CE0328"/>
    <w:rsid w:val="00CE5FF4"/>
    <w:rsid w:val="00CF0E8A"/>
    <w:rsid w:val="00D00AC1"/>
    <w:rsid w:val="00D01C51"/>
    <w:rsid w:val="00D07198"/>
    <w:rsid w:val="00D11B9D"/>
    <w:rsid w:val="00D14800"/>
    <w:rsid w:val="00D17E09"/>
    <w:rsid w:val="00D4303F"/>
    <w:rsid w:val="00D43376"/>
    <w:rsid w:val="00D4455A"/>
    <w:rsid w:val="00D7519B"/>
    <w:rsid w:val="00DA5411"/>
    <w:rsid w:val="00DB1DB9"/>
    <w:rsid w:val="00DB2FC8"/>
    <w:rsid w:val="00DC64B0"/>
    <w:rsid w:val="00DD1D03"/>
    <w:rsid w:val="00DD7797"/>
    <w:rsid w:val="00DE3DAF"/>
    <w:rsid w:val="00DE62F3"/>
    <w:rsid w:val="00DF27F7"/>
    <w:rsid w:val="00DF3E94"/>
    <w:rsid w:val="00DF7B7B"/>
    <w:rsid w:val="00E018A8"/>
    <w:rsid w:val="00E16B7C"/>
    <w:rsid w:val="00E206BA"/>
    <w:rsid w:val="00E22772"/>
    <w:rsid w:val="00E2464F"/>
    <w:rsid w:val="00E357D4"/>
    <w:rsid w:val="00E40395"/>
    <w:rsid w:val="00E429AD"/>
    <w:rsid w:val="00E52820"/>
    <w:rsid w:val="00E55813"/>
    <w:rsid w:val="00E70687"/>
    <w:rsid w:val="00E72589"/>
    <w:rsid w:val="00E776F1"/>
    <w:rsid w:val="00E83CE7"/>
    <w:rsid w:val="00E922F5"/>
    <w:rsid w:val="00EE0F94"/>
    <w:rsid w:val="00EE46B9"/>
    <w:rsid w:val="00EE6171"/>
    <w:rsid w:val="00EE65BD"/>
    <w:rsid w:val="00EF66B1"/>
    <w:rsid w:val="00F02B8E"/>
    <w:rsid w:val="00F04B17"/>
    <w:rsid w:val="00F071B9"/>
    <w:rsid w:val="00F21A91"/>
    <w:rsid w:val="00F21B29"/>
    <w:rsid w:val="00F23282"/>
    <w:rsid w:val="00F239E9"/>
    <w:rsid w:val="00F42CC8"/>
    <w:rsid w:val="00F64D51"/>
    <w:rsid w:val="00F736BA"/>
    <w:rsid w:val="00F80939"/>
    <w:rsid w:val="00F84821"/>
    <w:rsid w:val="00F97D08"/>
    <w:rsid w:val="00FA015E"/>
    <w:rsid w:val="00FA55E7"/>
    <w:rsid w:val="00FC61EC"/>
    <w:rsid w:val="00FC692B"/>
    <w:rsid w:val="00FE64A1"/>
    <w:rsid w:val="00FF01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εισαγωγικό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εισαγωγικό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a3"/>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8DCD1F5ABCA5427B95E50A13AF911CFE"/>
        <w:category>
          <w:name w:val="Γενικά"/>
          <w:gallery w:val="placeholder"/>
        </w:category>
        <w:types>
          <w:type w:val="bbPlcHdr"/>
        </w:types>
        <w:behaviors>
          <w:behavior w:val="content"/>
        </w:behaviors>
        <w:guid w:val="{8EDE313A-726D-4924-810F-74340C97D5E8}"/>
      </w:docPartPr>
      <w:docPartBody>
        <w:p w:rsidR="005E244C" w:rsidRDefault="0034082E">
          <w:pPr>
            <w:pStyle w:val="8DCD1F5ABCA5427B95E50A13AF911CFE"/>
          </w:pPr>
          <w:r w:rsidRPr="004D0BE2">
            <w:rPr>
              <w:rStyle w:val="a3"/>
              <w:color w:val="0070C0"/>
            </w:rPr>
            <w:t>0000</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82E"/>
    <w:rsid w:val="003032A1"/>
    <w:rsid w:val="0034082E"/>
    <w:rsid w:val="0054725D"/>
    <w:rsid w:val="005E244C"/>
    <w:rsid w:val="00814CB5"/>
    <w:rsid w:val="00984FA9"/>
    <w:rsid w:val="00AE2AA9"/>
    <w:rsid w:val="00B27755"/>
    <w:rsid w:val="00BB703A"/>
    <w:rsid w:val="00E74B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8ADAE80-B4AE-4229-ADFC-C92ACE40C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Template>
  <TotalTime>1</TotalTime>
  <Pages>4</Pages>
  <Words>1078</Words>
  <Characters>5827</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xsamara</dc:creator>
  <cp:lastModifiedBy>spare</cp:lastModifiedBy>
  <cp:revision>2</cp:revision>
  <cp:lastPrinted>2019-01-30T11:00:00Z</cp:lastPrinted>
  <dcterms:created xsi:type="dcterms:W3CDTF">2019-02-20T12:59:00Z</dcterms:created>
  <dcterms:modified xsi:type="dcterms:W3CDTF">2019-02-20T12:59:00Z</dcterms:modified>
  <dc:language>Ελληνικά</dc:language>
  <cp:version>am-20180624</cp:version>
</cp:coreProperties>
</file>